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新科831品种简介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审定编号</w:t>
      </w:r>
      <w:r>
        <w:rPr>
          <w:rFonts w:hint="default" w:ascii="Times New Roman" w:hAnsi="Times New Roman" w:cs="Times New Roman"/>
          <w:sz w:val="24"/>
          <w:szCs w:val="24"/>
        </w:rPr>
        <w:t>：陕审玉20230030号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申 请 者</w:t>
      </w:r>
      <w:r>
        <w:rPr>
          <w:rFonts w:hint="default" w:ascii="Times New Roman" w:hAnsi="Times New Roman" w:cs="Times New Roman"/>
          <w:sz w:val="24"/>
          <w:szCs w:val="24"/>
        </w:rPr>
        <w:t>：新乡市农业科学院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育 种 者：</w:t>
      </w:r>
      <w:r>
        <w:rPr>
          <w:rFonts w:hint="default" w:ascii="Times New Roman" w:hAnsi="Times New Roman" w:cs="Times New Roman"/>
          <w:sz w:val="24"/>
          <w:szCs w:val="24"/>
        </w:rPr>
        <w:t>新乡市农业科学院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品种来源：</w:t>
      </w:r>
      <w:r>
        <w:rPr>
          <w:rFonts w:hint="default" w:ascii="Times New Roman" w:hAnsi="Times New Roman" w:cs="Times New Roman"/>
          <w:sz w:val="24"/>
          <w:szCs w:val="24"/>
        </w:rPr>
        <w:t>D111×A10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品种权申请人：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河南省新乡市农业科学院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   品种权申请公告号：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CNA047584E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特征特性</w:t>
      </w:r>
      <w:r>
        <w:rPr>
          <w:rFonts w:hint="default" w:ascii="Times New Roman" w:hAnsi="Times New Roman" w:cs="Times New Roman"/>
          <w:sz w:val="24"/>
          <w:szCs w:val="24"/>
        </w:rPr>
        <w:t>：幼苗叶鞘紫色，子叶圆形，株型半紧凑。株高240-260厘米，穗位高85-100厘米。总叶片数19-20片，叶色绿色，叶缘浅紫色。雄花分枝少，花药浅紫色，颖壳绿色，花丝绿色。果穗筒型，穗长15.8厘米，穗行数16-20行，百粒重28.6克，红轴，籽粒黄色、马齿型。收获时籽粒水分含量两年平均28.0%。两年区试平均生育期100.1天，比对照早2.6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经鉴定：2021年高抗瘤黑粉病，中抗茎腐病和小斑病，感穗腐病和南方锈病，高感大斑病和弯孢叶斑病；2022年高抗瘤黑粉病，中抗茎腐病，感穗腐病、小斑病、大斑病和南方锈病，高感弯孢叶斑病。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经检测：容重754.0g/L，粗蛋白（干基）10.1%，粗脂肪（干基）4.0%，粗淀粉（干基）75.1%。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栽培技术要点</w:t>
      </w:r>
      <w:r>
        <w:rPr>
          <w:rFonts w:hint="default" w:ascii="Times New Roman" w:hAnsi="Times New Roman" w:cs="Times New Roman"/>
          <w:sz w:val="24"/>
          <w:szCs w:val="24"/>
        </w:rPr>
        <w:t>：适宜播种期为6月上旬-6月中旬，每亩适宜密度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4500-</w:t>
      </w:r>
      <w:r>
        <w:rPr>
          <w:rFonts w:hint="default" w:ascii="Times New Roman" w:hAnsi="Times New Roman" w:cs="Times New Roman"/>
          <w:sz w:val="24"/>
          <w:szCs w:val="24"/>
        </w:rPr>
        <w:t>5000株，注意防治病虫害。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    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适宜地区及产量水平</w:t>
      </w:r>
      <w:r>
        <w:rPr>
          <w:rFonts w:hint="default" w:ascii="Times New Roman" w:hAnsi="Times New Roman" w:cs="Times New Roman"/>
          <w:sz w:val="24"/>
          <w:szCs w:val="24"/>
        </w:rPr>
        <w:t>：陕西关中夏播机械化籽粒收获玉米区种植。2021年亩产653.3公斤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较对照增产3.9%，增产点率87.5%；2022年亩产667.3公斤，较对照增产6.9%，增产点率88.9%。两年区试平均亩产660.3公斤。2022年生产试验平均亩产698.6公斤,较对照增产10.3%，增产点率100%。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TczMjNiNGU4NzNmNDI4Y2I3NjgwNDg1NTg1MzcifQ=="/>
  </w:docVars>
  <w:rsids>
    <w:rsidRoot w:val="0A890983"/>
    <w:rsid w:val="0A890983"/>
    <w:rsid w:val="237B1C44"/>
    <w:rsid w:val="3AE05C10"/>
    <w:rsid w:val="5BFE4ADE"/>
    <w:rsid w:val="BB7E3463"/>
    <w:rsid w:val="EFFE0906"/>
    <w:rsid w:val="F7DF38D5"/>
    <w:rsid w:val="F975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2023-10-11T07:51:00Z</dcterms:created>
  <dc:creator>石头</dc:creator>
  <cp:lastModifiedBy>administrator</cp:lastModifiedBy>
  <dcterms:modified xsi:type="dcterms:W3CDTF">2023-10-17T10:07:52Z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4F665D10611B4FAFAD8580D3901C7213_11</vt:lpwstr>
  </property>
</Properties>
</file>